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2" w:rsidRPr="009F609C" w:rsidRDefault="002F35D2" w:rsidP="009F6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2F35D2" w:rsidRPr="00A42232" w:rsidRDefault="00A4223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42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KLAIPĖDOS LOPŠELIO-DARŽELIO „AITVARĖLIS“</w:t>
      </w:r>
    </w:p>
    <w:p w:rsidR="002F35D2" w:rsidRPr="00A42232" w:rsidRDefault="00A4223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422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DIREKTORĖS AUŠROS JABLONSKIENĖS</w:t>
      </w:r>
    </w:p>
    <w:p w:rsidR="002F35D2" w:rsidRPr="007F425A" w:rsidRDefault="00433ACE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2021 </w:t>
      </w:r>
      <w:r w:rsidR="002F35D2"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ATASKAITA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Nr. </w:t>
      </w:r>
    </w:p>
    <w:p w:rsidR="00A42232" w:rsidRDefault="00A4223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Klaipėda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bcb853b1c8f14588a70c0faef8b9318d"/>
      <w:bookmarkEnd w:id="1"/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STRATEGINIO PLANO IR METINIO VEIKLOS PLANO ĮGYVENDINIMAS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5"/>
      </w:tblGrid>
      <w:tr w:rsidR="002F35D2" w:rsidRPr="007F425A" w:rsidTr="00433ACE">
        <w:trPr>
          <w:trHeight w:val="11740"/>
        </w:trPr>
        <w:tc>
          <w:tcPr>
            <w:tcW w:w="9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FC5" w:rsidRDefault="00781519" w:rsidP="0078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</w:t>
            </w:r>
            <w:r w:rsidR="000D0F48" w:rsidRPr="007F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</w:t>
            </w:r>
            <w:r w:rsidR="00575FC5" w:rsidRPr="007F42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Strateginio plano kryptys ir svariausi rezultatai bei rodikliai:</w:t>
            </w:r>
            <w:r w:rsidR="006239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  <w:p w:rsidR="00357BA8" w:rsidRPr="00357BA8" w:rsidRDefault="00623985" w:rsidP="000A59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lopšelis-darželis „</w:t>
            </w:r>
            <w:proofErr w:type="spellStart"/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>Aitvarėlis</w:t>
            </w:r>
            <w:proofErr w:type="spellEnd"/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>“ (toliau – Įstaiga) įgyvendina ikimokyklinio ir priešmokyklinio  ugdymo programas</w:t>
            </w:r>
            <w:r w:rsid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 3 neformaliojo ugdymo programas: </w:t>
            </w:r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ir priešmokyklinio  sveikos ir saugios gyvensenos</w:t>
            </w:r>
            <w:r w:rsidR="00ED6620">
              <w:rPr>
                <w:rFonts w:ascii="Times New Roman" w:eastAsia="Times New Roman" w:hAnsi="Times New Roman" w:cs="Times New Roman"/>
                <w:sz w:val="24"/>
                <w:szCs w:val="24"/>
              </w:rPr>
              <w:t>, fizinio aktyvumo optimizavimo bei</w:t>
            </w:r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„Žaidžiu su </w:t>
            </w:r>
            <w:proofErr w:type="spellStart"/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>Džo</w:t>
            </w:r>
            <w:proofErr w:type="spellEnd"/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Vaikų skaičiaus įstaigoje užpildomumas 100 proc</w:t>
            </w:r>
            <w:r w:rsidR="004A28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2021-09-01 duomenimis Įstaigoje ugdyti 194 ugdytiniai, iš jų 8 specialiųjų </w:t>
            </w:r>
            <w:r w:rsidR="00F11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ugdymosi 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poreikių turintys </w:t>
            </w:r>
            <w:r w:rsidR="007B12FB">
              <w:rPr>
                <w:rFonts w:ascii="Times New Roman" w:eastAsia="Times New Roman" w:hAnsi="Times New Roman" w:cs="Times New Roman"/>
                <w:sz w:val="24"/>
                <w:szCs w:val="24"/>
              </w:rPr>
              <w:t>vaikai.  Suformuotos 3 lopšelio,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ikimokyklinio ugdymo ir 2 priešmokyklinio ugdymo grupės. Vaikų skaičius grupėse atitinka higienos normų reikalavimus. </w:t>
            </w:r>
            <w:r w:rsidR="00DE2083">
              <w:rPr>
                <w:rFonts w:ascii="Times New Roman" w:eastAsia="Times New Roman" w:hAnsi="Times New Roman" w:cs="Times New Roman"/>
                <w:sz w:val="24"/>
                <w:szCs w:val="24"/>
              </w:rPr>
              <w:t>2021 m. Įstaigoje d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irbo 27 pedagogai, t. y. 27,5 etato (2020 m. – </w:t>
            </w:r>
            <w:r w:rsidR="00F11B94">
              <w:rPr>
                <w:rFonts w:ascii="Times New Roman" w:eastAsia="Times New Roman" w:hAnsi="Times New Roman" w:cs="Times New Roman"/>
                <w:sz w:val="24"/>
                <w:szCs w:val="24"/>
              </w:rPr>
              <w:t>23,1 etato), ir 28 nepedagoginiai darbuotojai</w:t>
            </w:r>
            <w:r w:rsidR="00357BA8" w:rsidRPr="00357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 y. 25 etato (2020 m. – 25,43 etato). </w:t>
            </w:r>
          </w:p>
          <w:p w:rsidR="0054623C" w:rsidRDefault="00623985" w:rsidP="0054623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Klaipėdos lopš</w:t>
            </w:r>
            <w:r w:rsidR="000604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elio-darželio „</w:t>
            </w:r>
            <w:proofErr w:type="spellStart"/>
            <w:r w:rsidR="000604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Aitvarėlis</w:t>
            </w:r>
            <w:proofErr w:type="spellEnd"/>
            <w:r w:rsidR="000604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2021–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</w:t>
            </w:r>
            <w:r w:rsidR="002E56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strateginio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56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plano (toliau – strateginis planas) tikslai ir uždaviniai orientuoti į švietimo paslaugų kokybės gerinimą ir saugios, sveikos bei</w:t>
            </w:r>
            <w:r w:rsidR="00796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šiuolaikinius ugdymo(si) reikalavimus atliepiančios aplinkos kūrimą. Strateginio plano tikslas – užtikrinti kokybišką ugdymo proceso organizavimą.</w:t>
            </w:r>
            <w:r w:rsidR="0054623C" w:rsidRPr="0004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</w:t>
            </w:r>
            <w:r w:rsidR="00F83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gyvendinant</w:t>
            </w:r>
            <w:r w:rsidR="008C4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</w:t>
            </w:r>
            <w:r w:rsidR="00DE20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trateginį planą</w:t>
            </w:r>
            <w:r w:rsidR="004A2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ir 2021 m. veiklos planą</w:t>
            </w:r>
            <w:r w:rsidR="00963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(toliau – Veiklos p</w:t>
            </w:r>
            <w:r w:rsidR="000A59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="00963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anas)</w:t>
            </w:r>
            <w:r w:rsidR="004A2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46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buvo</w:t>
            </w:r>
            <w:r w:rsidR="0054623C" w:rsidRPr="0004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užtikrinama ikimokyklinio ir priešmokyklinio ugdymo programų įgyvendinimo</w:t>
            </w:r>
            <w:r w:rsidR="00F83A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kokybė.</w:t>
            </w:r>
            <w:r w:rsidR="0054623C" w:rsidRPr="00044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3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m. pasirinkta prioritetinė veiklos kryptis – bendruomenės narių lyderystės gebėjimų didinimas, siekiant ugdymo paslaugų kokybės.</w:t>
            </w:r>
            <w:r w:rsidR="004A28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Strateginiam t</w:t>
            </w:r>
            <w:r w:rsidR="00413E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ikslui pasiekti pasirinkti šie uždaviniai</w:t>
            </w:r>
            <w:r w:rsidR="00413E6C" w:rsidRPr="002A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2A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15D1" w:rsidRPr="002A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3A00A2" w:rsidRPr="002A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siekti </w:t>
            </w:r>
            <w:r w:rsidR="003A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geresnės </w:t>
            </w:r>
            <w:r w:rsidR="000F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peda</w:t>
            </w:r>
            <w:r w:rsidR="003A00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gogų ugdymo kompetencijų kokybės</w:t>
            </w:r>
            <w:r w:rsidR="000F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A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2) </w:t>
            </w:r>
            <w:r w:rsidR="000F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užtikrinti ugdytinių socialinio saugumo ir saviraiškos poreikius; </w:t>
            </w:r>
            <w:r w:rsidR="002A15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="000F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sutelkti įstaigos bendruomenę sveikos ir saugios gyvensenos įgū</w:t>
            </w:r>
            <w:r w:rsidR="003775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džių įtvirtinimui</w:t>
            </w:r>
            <w:r w:rsidR="000F7C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E913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3E4B" w:rsidRDefault="00784086" w:rsidP="00302B67">
            <w:pPr>
              <w:tabs>
                <w:tab w:val="left" w:pos="1985"/>
              </w:tabs>
              <w:spacing w:after="0" w:line="240" w:lineRule="auto"/>
              <w:ind w:firstLine="9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Siekiant </w:t>
            </w:r>
            <w:r w:rsidR="004A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</w:t>
            </w:r>
            <w:r w:rsidR="00F1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ateginio plano pirmojo tikslo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kokybi</w:t>
            </w:r>
            <w:r w:rsidR="004A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šką ugdymo proceso organizavimą – Įstaigos veikla</w:t>
            </w:r>
            <w:r w:rsidR="008C48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buvo</w:t>
            </w:r>
            <w:r w:rsidR="004A28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A280B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orientuojama </w:t>
            </w:r>
            <w:r w:rsidR="00963E4B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</w:t>
            </w:r>
            <w:r w:rsidR="00963E4B" w:rsidRPr="00963E4B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</w:t>
            </w:r>
            <w:r w:rsidR="00963E4B">
              <w:rPr>
                <w:sz w:val="24"/>
                <w:szCs w:val="24"/>
              </w:rPr>
              <w:t xml:space="preserve"> </w:t>
            </w:r>
            <w:r w:rsidR="00963E4B" w:rsidRPr="00963E4B">
              <w:rPr>
                <w:rFonts w:ascii="Times New Roman" w:hAnsi="Times New Roman" w:cs="Times New Roman"/>
                <w:sz w:val="24"/>
                <w:szCs w:val="24"/>
              </w:rPr>
              <w:t>kompetencijų kokybės gerinimą</w:t>
            </w:r>
            <w:r w:rsidR="00963E4B">
              <w:rPr>
                <w:sz w:val="24"/>
                <w:szCs w:val="24"/>
              </w:rPr>
              <w:t>,</w:t>
            </w:r>
            <w:r w:rsidR="00963E4B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204E1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</w:t>
            </w:r>
            <w:r w:rsidR="008B530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204E1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</w:t>
            </w:r>
            <w:r w:rsidR="003B6BC0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tobulinimą,  įgyjant</w:t>
            </w:r>
            <w:r w:rsidR="007204E1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naujų kompetencijų</w:t>
            </w:r>
            <w:r w:rsidR="00963E4B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Tikslui pasiekti buvo vykdomi penki Veiklos plano uždaviniai: </w:t>
            </w:r>
          </w:p>
          <w:p w:rsidR="00FB0043" w:rsidRPr="00AB68E6" w:rsidRDefault="00E207B2" w:rsidP="00302B67">
            <w:pPr>
              <w:pStyle w:val="Sraopastraipa"/>
              <w:tabs>
                <w:tab w:val="left" w:pos="1985"/>
              </w:tabs>
              <w:spacing w:after="0" w:line="240" w:lineRule="auto"/>
              <w:ind w:left="5" w:firstLine="9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gyvendinant pirmąj</w:t>
            </w:r>
            <w:r w:rsidR="002127D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uždavinį – ikimokyklinio ir priešmokyklinio ugdymo </w:t>
            </w:r>
            <w:r w:rsidR="00F11B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kompetencijų kokybės gerinimas –</w:t>
            </w:r>
            <w:r w:rsidR="007204E1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B6BC0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m. 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 pedagogai gilino savo kompetencijas, tobulino</w:t>
            </w:r>
            <w:r w:rsidR="003B6BC0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kvalifikaciją vidutiniškai po 9 dienas</w:t>
            </w:r>
            <w:r w:rsidR="000604D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(3 d. daugiau negu 2020 m.).</w:t>
            </w:r>
            <w:r w:rsidR="003B6BC0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mokyto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jai organizavo tarptautinius </w:t>
            </w:r>
            <w:proofErr w:type="spellStart"/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win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</w:t>
            </w:r>
            <w:proofErr w:type="spellEnd"/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projektus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- 0</w:t>
            </w:r>
            <w:r w:rsidR="00784086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2E368A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12 mokytojų prisijungė, kaip projekto dalyviai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– 8)</w:t>
            </w:r>
            <w:r w:rsidR="000604D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6D3268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mokykla pelnė tarptautinį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kokybės</w:t>
            </w:r>
            <w:r w:rsidR="006D3268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ženklelį 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„Programos </w:t>
            </w:r>
            <w:r w:rsidR="000D4CDF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0604D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Twining</w:t>
            </w:r>
            <w:proofErr w:type="spellEnd"/>
            <w:r w:rsidR="000604D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mokykla 2021–</w:t>
            </w:r>
            <w:r w:rsidR="006D3268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2022</w:t>
            </w:r>
            <w:r w:rsidR="000604D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0D4CDF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604DC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94355D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darželiai</w:t>
            </w:r>
            <w:r w:rsidR="000D4CDF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mieste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). 1 pedagogas </w:t>
            </w:r>
            <w:r w:rsidR="001A5F11"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yra </w:t>
            </w:r>
            <w:r w:rsidR="0032017F"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pedagogų švietimo ir kultūros centro (toliau – KPŠKC) </w:t>
            </w:r>
            <w:r w:rsidR="001A5F11"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metodinio būrelio tarybos narys, 3</w:t>
            </w:r>
            <w:r w:rsidR="006D3268" w:rsidRPr="003201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D3268" w:rsidRPr="00963E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siekia aukštojo išsilavinimo.</w:t>
            </w:r>
            <w:r w:rsidR="00FB00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B0043">
              <w:t xml:space="preserve"> </w:t>
            </w:r>
            <w:r w:rsidR="007A233F" w:rsidRPr="005B2DE4">
              <w:rPr>
                <w:rFonts w:ascii="Times New Roman" w:hAnsi="Times New Roman" w:cs="Times New Roman"/>
                <w:sz w:val="24"/>
                <w:szCs w:val="24"/>
              </w:rPr>
              <w:t xml:space="preserve">Pedagogai </w:t>
            </w:r>
            <w:r w:rsidR="007A233F" w:rsidRP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dalinosi gerąja patirtimi: respublikoje – 2, mieste – 5, įstaigoje – 13 ir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įgytą pa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tirtį</w:t>
            </w:r>
            <w:r w:rsidR="007A233F" w:rsidRP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pritaikė savo darbe.</w:t>
            </w:r>
            <w:r w:rsidR="00DE2083" w:rsidRP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233F" w:rsidRP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</w:t>
            </w:r>
            <w:r w:rsidR="00AB68E6" w:rsidRP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ymo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proceso metu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pedagogai 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savo darbe 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taikė inovacijas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naudojo IT programas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: </w:t>
            </w:r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Padlet</w:t>
            </w:r>
            <w:proofErr w:type="spellEnd"/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programa, IT programa „</w:t>
            </w:r>
            <w:proofErr w:type="spellStart"/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Frepy</w:t>
            </w:r>
            <w:proofErr w:type="spellEnd"/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planeta“, </w:t>
            </w:r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Wordwall</w:t>
            </w:r>
            <w:proofErr w:type="spellEnd"/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programa, </w:t>
            </w:r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Read.bookcreator</w:t>
            </w:r>
            <w:proofErr w:type="spellEnd"/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įrankis, EMA (elektroninė mokymosi aplinka). 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 2</w:t>
            </w:r>
            <w:r w:rsidR="00FB0043" w:rsidRP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metodiniai </w:t>
            </w:r>
            <w:r w:rsidR="00FB0043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posėdžiai.</w:t>
            </w:r>
            <w:r w:rsidR="007A233F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B68E6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Apibendrintos ir pateiktos rekomendacijos 22 pedagogų 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ataskaitoms. Paruošti metiniai Į</w:t>
            </w:r>
            <w:r w:rsidR="00AB68E6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staigos</w:t>
            </w:r>
            <w:r w:rsidR="007A3F04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</w:t>
            </w:r>
            <w:r w:rsidR="00AB68E6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grupių ir neformaliojo ug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dymo programų planai. G</w:t>
            </w:r>
            <w:r w:rsidR="00AB68E6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rupių veiklos planavimas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vykdytas per elektroninį dienyną „Mūsų darželis“</w:t>
            </w:r>
            <w:r w:rsidR="00AB68E6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7A3F04" w:rsidRPr="007A3F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2166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Įgyvendinant ikimokyklinio ir priešmokyklinio ugdymo programas, atliktas ikimokyklinio ir priešmokyklinio amžiaus vaikų pasiekimų kiekybinis vertinimas. Nustatytos ugdymo(si)  pasiekimų kompetencijos ir sritys, kuriose vaikų pasiekimai yra aukšti: ikimokyklinio amžiaus grupėse – santykiai su suaugusiais, savireguliacija ir savikontrolė bei kūrybiškumas; </w:t>
            </w:r>
            <w:r w:rsidR="005475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grupėse – pažinimo ir komunikavimo kompetencijos. Atlikta tėvų anketinė apklausa parodė, kad 96,2 proc.</w:t>
            </w:r>
            <w:r w:rsidR="00FB0043" w:rsidRP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tėvų</w:t>
            </w:r>
            <w:r w:rsidR="005475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 veiklą vertina labai gerai. </w:t>
            </w:r>
          </w:p>
          <w:p w:rsidR="008B530C" w:rsidRDefault="00C958E1" w:rsidP="00302B67">
            <w:pPr>
              <w:tabs>
                <w:tab w:val="left" w:pos="1985"/>
              </w:tabs>
              <w:spacing w:after="0" w:line="240" w:lineRule="auto"/>
              <w:ind w:firstLine="9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gyvendinant antrąjį uždavinį – skatinti ugdyti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nių kūrybiškumą ir saviraišką – </w:t>
            </w: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3B6BC0" w:rsidRP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ykdant </w:t>
            </w:r>
            <w:r w:rsidR="0051325E" w:rsidRP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vaikų </w:t>
            </w:r>
            <w:r w:rsidR="0051325E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pažinimo ir saviraiškos poreikių tenkinimo</w:t>
            </w:r>
            <w:r w:rsidR="003B6BC0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priemonę</w:t>
            </w:r>
            <w:r w:rsidR="0051325E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3B6BC0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buvo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sudarytos sąlygos vaikų užimtumui, veiklos įvairovei, gebėjimų, interesų, saviraiškos poreikių tenkinimui pagal Įstaigoje įgyvendinamas neformaliojo vaikų švietimo programas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(ikimokyklinio ir priešmokyklinio  sveikos ir saugios gyvensenos, fizinio aktyvumo optimizavimo, „Žaidžiu su Kim ir Džo“); ilgalaikius tęstinius respublikinius projektus („Sveikatiada“, „Sveikata visus metus“); sveikatos stiprinimo programa („Mažais žingsneliais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sveikatos šalį“); tarptautinę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nkstyvosios prevencijos programą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(,,Zipio draugai“), socialinio emoci</w:t>
            </w:r>
            <w:r w:rsidR="001B24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nio ugdymo programą</w:t>
            </w:r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(„</w:t>
            </w:r>
            <w:proofErr w:type="spellStart"/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Kimochi</w:t>
            </w:r>
            <w:proofErr w:type="spellEnd"/>
            <w:r w:rsidR="001A5F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“).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2021 m. Įstaigoje organizuota </w:t>
            </w:r>
            <w:r w:rsidR="007A2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projektų</w:t>
            </w:r>
            <w:r w:rsidR="007A2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– 14)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</w:t>
            </w:r>
            <w:r w:rsidR="001B24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auta 26 respublikos projektuose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– 3</w:t>
            </w:r>
            <w:r w:rsidR="007A2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 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tarptautinių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117838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projektų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</w:t>
            </w:r>
            <w:r w:rsidR="001B24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A2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m.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="007A23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5)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17838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52 pažintiniai-edukaciniai  ir kultūriniai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-savir</w:t>
            </w:r>
            <w:r w:rsidR="003B6BC0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aiškos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renginiai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F7755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kuriuose dalyvavo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19</w:t>
            </w:r>
            <w:r w:rsidR="004F7755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 ugdyti</w:t>
            </w:r>
            <w:r w:rsidR="004F7755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niai</w:t>
            </w:r>
            <w:r w:rsidR="008B530C" w:rsidRPr="00C9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1325E" w:rsidRPr="00C958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</w:p>
          <w:p w:rsidR="00FB0043" w:rsidRDefault="00FB0043" w:rsidP="00302B67">
            <w:pPr>
              <w:tabs>
                <w:tab w:val="left" w:pos="1985"/>
              </w:tabs>
              <w:spacing w:after="0" w:line="240" w:lineRule="auto"/>
              <w:ind w:firstLine="9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Atliktas Įstaigos veiklos kokybės įsivertinimas.</w:t>
            </w:r>
            <w:r w:rsidR="007A3F04">
              <w:t xml:space="preserve"> </w:t>
            </w:r>
            <w:r w:rsidR="007A3F04" w:rsidRP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Plačiojo audito išvados: </w:t>
            </w:r>
            <w:r w:rsidR="0073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geriausiai Įstaigoje įvertintas ugdymo turinio ir kasdienės veiklos planavimas. S</w:t>
            </w:r>
            <w:r w:rsidR="007A3F04" w:rsidRP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ilpniausiai vertinama sritis – specialiųjų ugdymosi p</w:t>
            </w:r>
            <w:r w:rsid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oreikių </w:t>
            </w:r>
            <w:r w:rsidR="0073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(toliau - SUP) </w:t>
            </w:r>
            <w:r w:rsid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vaikų ugdymosi pažanga. </w:t>
            </w:r>
            <w:r w:rsidR="007A3F04" w:rsidRP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Giluminio audito išvados – vaik</w:t>
            </w:r>
            <w:r w:rsidR="000A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 turintys SUP pastebimi laiku,</w:t>
            </w:r>
            <w:r w:rsidR="00175D9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5D90" w:rsidRPr="00175D90">
              <w:rPr>
                <w:rFonts w:ascii="Times New Roman" w:eastAsia="Times New Roman" w:hAnsi="Times New Roman" w:cs="Times New Roman"/>
                <w:sz w:val="24"/>
                <w:szCs w:val="24"/>
              </w:rPr>
              <w:t>bet</w:t>
            </w:r>
            <w:r w:rsidR="007A3F04" w:rsidRPr="000A59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="007A3F04" w:rsidRP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 pedagogų, kurie neturi </w:t>
            </w:r>
            <w:r w:rsidR="0030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pakankamai </w:t>
            </w:r>
            <w:r w:rsidR="007A3F04" w:rsidRP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žinių apie </w:t>
            </w:r>
            <w:r w:rsidR="00C4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vaikų raidos </w:t>
            </w:r>
            <w:r w:rsidR="007A3F04" w:rsidRPr="007A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sutrikimus.</w:t>
            </w:r>
          </w:p>
          <w:p w:rsidR="009B48F1" w:rsidRDefault="00DE0E4E" w:rsidP="00302B67">
            <w:pPr>
              <w:spacing w:after="0" w:line="24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0A59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48F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įgyvendinant trečią</w:t>
            </w:r>
            <w:r w:rsidR="002A15D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>jį</w:t>
            </w:r>
            <w:r w:rsidR="009B48F1" w:rsidRPr="002A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uždavi</w:t>
            </w:r>
            <w:r w:rsidR="00D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nį – </w:t>
            </w:r>
            <w:r w:rsidR="00DE2083" w:rsidRPr="00D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sutelkti įstaigos bendruomenę sveikos ir saugios </w:t>
            </w:r>
            <w:r w:rsidR="00D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gyvensenos įgūdžių įtvirtinimui</w:t>
            </w:r>
            <w:r w:rsidR="00DE2083" w:rsidRPr="00D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DE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8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 dėmesio skirta kokybiško vaikų maitinimo organizavimui. Įstaigos vaikams tiekiamas sveikatai palankus, šviežias, vietoje pagamintas maistas. Maisto gamyba buvo vykdoma Geros higienos praktikos taisyklių, Lietuvos HN75:2010 „Įstaiga, vykdanti ikimokyklinio ir (ar) priešmokyklinio ugdymo programą. Bendrieji sveikatos saugos reikalavimai“ atitinkančioje virtuvėje. Visi vaikai 3 kartus per dieną maitinami kokybišku, subalansuotu maistu. Pritaikytas maitinimas organizuotas 2 vaikams (2020 m. – 1 vaikas). Vykdytos Europos sąjungos lėšomis finansuojamos programos: „Pienas vaikams“ ir „Vaisių vartojimo skatinimas mokyklose“. 30 -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čiai</w:t>
            </w:r>
            <w:proofErr w:type="spellEnd"/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</w:t>
            </w:r>
            <w:r w:rsidR="001B246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taikyta</w:t>
            </w:r>
            <w:r w:rsidR="009B48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50 procentų (2020 m. – 28 vaika</w:t>
            </w:r>
            <w:r w:rsidR="001178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i) ir 3 vaikams</w:t>
            </w:r>
            <w:r w:rsidR="009B48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– 1 vaikas) 100 procentų atlyginimo už maitinimo paslaugą lengvata. Tikrinimų metu jokių pažeidimų nenustatyta</w:t>
            </w:r>
            <w:r w:rsidR="00DE2083">
              <w:t xml:space="preserve"> 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Teikta kokybiška specialioji (logopedinė) pagalba 42 Įstaigos ugdytiniams</w:t>
            </w:r>
            <w:r w:rsidR="00C478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– 35)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turintiems  kalbos vystymosi raidos, kalbos ir kalbėjimo bei komunika</w:t>
            </w:r>
            <w:r w:rsidR="009032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cijos sutrikimų. Organizuota 10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</w:t>
            </w:r>
            <w:r w:rsidR="009032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aiko gerovės posėdžių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paruoštos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 m. – </w:t>
            </w:r>
            <w:r w:rsidR="00123A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11)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pritaikytos ikimokyklinio ir priešmokyklinio ugdymo programos. Įstaigoje kasmet daugėja vaikų, turinčių kalbos ir komunikacijų sutrikimų, todėl 1 logopedo etato nepakanka. Įstaiga neturi galimybės patenkinti visų vaikų, kuriems reikalinga ši pagalba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poreikį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Taip pat Įstaigoje daugėja 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vaikų, turinčių elgesio, socialinių ir psichologinių sutrikimų.  2021 metais konsultacinę ir metodinę pagalbą Įstaigos pedagogams ir ugdytinių tėvams teikė Klaipėdos pedagoginės psichologinės </w:t>
            </w:r>
            <w:r w:rsidR="002459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tarnybos specialistai.</w:t>
            </w:r>
            <w:r w:rsidR="00DE2083" w:rsidRPr="00DE20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127AE" w:rsidRDefault="001117A6" w:rsidP="00302B67">
            <w:pPr>
              <w:spacing w:after="0" w:line="24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Siekiant strateginio plano antrojo tikslo – gerinti Įstaigos ugdymo sąlygas ir aplinką – Įstaigos veikla buvo orientuota į 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tikslingą, skaid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ir taupų</w:t>
            </w:r>
            <w:r w:rsidR="00724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materialinių ir finansinių išteklių panaudojimą, sprendimus derinant su Įstaigos bendruomene. Panaudojant valstybės, savivaldybės ir paramos lėšas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724D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įsigyta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edukacinių lauko įrenginių, </w:t>
            </w:r>
            <w:r w:rsidR="00FB00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 patalpų būklė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AB68E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įsigyta</w:t>
            </w:r>
            <w:r w:rsidR="00FB00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inventoriaus ir šiuolaikinių</w:t>
            </w:r>
            <w:r w:rsidR="005B2D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ugdymos(si) priemonių</w:t>
            </w:r>
            <w:r w:rsidR="008568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Tikslui pasiekti buvo vykdomi trys Veiklos plano uždaviniai: </w:t>
            </w:r>
          </w:p>
          <w:p w:rsidR="008568F0" w:rsidRDefault="00DE0E4E" w:rsidP="00302B67">
            <w:pPr>
              <w:spacing w:after="0" w:line="24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</w:t>
            </w:r>
            <w:r w:rsidR="008568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įgyvendinant pirmąjį uždavinį – aplinkos renovavimas – buvo </w:t>
            </w:r>
            <w:r w:rsid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 darbų už 19,7 tūkst. Eurų. Naujai įrengtas sensorinis kambarys</w:t>
            </w:r>
            <w:r w:rsidR="006133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skatinantis vaikų STEAM ugdymą, emocijų ir psichinės sveikatos gerinimą. Suremontuotos dviejų grupių miegamųjų lubos, atlikti elektros ir santechnikos darbai.</w:t>
            </w:r>
          </w:p>
          <w:p w:rsidR="008568F0" w:rsidRDefault="00302B67" w:rsidP="00302B67">
            <w:pPr>
              <w:spacing w:after="0" w:line="24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8568F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F3E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įgyvendinant antrąjį uždavinį – lauko įrengimų, inventoriaus ir baldų grupėse atnaujinimas – buvo </w:t>
            </w:r>
            <w:r w:rsidR="004A0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 estetiška, funkcionali, saugi ugdymosi aplinka. Įsigytos lauko žaidimų aikštelės, pavėsinės, supynės už 8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 tūkst.</w:t>
            </w:r>
            <w:r w:rsidR="004A0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Eurų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(2020</w:t>
            </w:r>
            <w:r w:rsidR="004A041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– 0).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Panaudotos sukauptos paramos lėšos. Plėtojant aktyvaus ugdymo metodų taikymą ugdymo procese įsigyti vaikams pritaik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yti baldai sensoriniam kambariui už 0,8 tūkst.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94355D" w:rsidRPr="00DC6136" w:rsidRDefault="00302B67" w:rsidP="00A7454E">
            <w:pPr>
              <w:spacing w:after="0" w:line="240" w:lineRule="auto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E0E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įgyvendinant trečią</w:t>
            </w:r>
            <w:r w:rsidR="00ED66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jį</w:t>
            </w:r>
            <w:r w:rsid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uždavinį – naujų technologijų ir priemonių įsigijimas 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FA45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buvo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siekiama atnaujinti edukacines priemones atitinkančias šiuolaikinius reikalavimus.</w:t>
            </w:r>
            <w:r w:rsidR="00DC61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Atnaujintos informacinės technologijos: 2 kompiuteriai, </w:t>
            </w:r>
            <w:r w:rsidR="002459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 w:rsidR="00DC61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ekranai, 4 k</w:t>
            </w:r>
            <w:r w:rsidR="002459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ameros, 2 spausdintuvai</w:t>
            </w:r>
            <w:r w:rsidR="00DC61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Įsigyta žaislų, edukacinių priemonių už 1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 tūkst.</w:t>
            </w:r>
            <w:r w:rsidR="00CD77D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</w:t>
            </w:r>
            <w:r w:rsidR="00611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ų.</w:t>
            </w:r>
            <w:r w:rsidR="002459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7202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šaldytuvas, žoliapjovė, darbo rūbai. Didelis dėmesys skirtas COVID-19 </w:t>
            </w:r>
            <w:r w:rsidR="0010032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ligos (koronaviruso </w:t>
            </w:r>
            <w:r w:rsidR="007202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infekcijos</w:t>
            </w:r>
            <w:r w:rsidR="00A74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202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valdymui: įsigyta dezinfekcinių, higienos ir valymo priemonių už 2</w:t>
            </w:r>
            <w:r w:rsidR="00A74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,8 tūkst.</w:t>
            </w:r>
            <w:r w:rsidR="007202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Eur</w:t>
            </w:r>
            <w:r w:rsidR="00A74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="007202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667126" w:rsidRPr="007F425A" w:rsidRDefault="00667126" w:rsidP="00575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75FC5" w:rsidRPr="007F425A" w:rsidRDefault="00303236" w:rsidP="00DE4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            </w:t>
            </w:r>
            <w:r w:rsidR="00575FC5" w:rsidRPr="007F425A">
              <w:rPr>
                <w:rFonts w:ascii="Times New Roman" w:hAnsi="Times New Roman" w:cs="Times New Roman"/>
                <w:sz w:val="24"/>
                <w:szCs w:val="24"/>
              </w:rPr>
              <w:t xml:space="preserve"> Finansinė informacija:</w:t>
            </w:r>
          </w:p>
          <w:tbl>
            <w:tblPr>
              <w:tblStyle w:val="Lentelstinklelis"/>
              <w:tblW w:w="0" w:type="auto"/>
              <w:tblInd w:w="736" w:type="dxa"/>
              <w:tblLook w:val="04A0" w:firstRow="1" w:lastRow="0" w:firstColumn="1" w:lastColumn="0" w:noHBand="0" w:noVBand="1"/>
            </w:tblPr>
            <w:tblGrid>
              <w:gridCol w:w="1628"/>
              <w:gridCol w:w="1494"/>
              <w:gridCol w:w="1438"/>
              <w:gridCol w:w="1283"/>
              <w:gridCol w:w="1953"/>
            </w:tblGrid>
            <w:tr w:rsidR="00575FC5" w:rsidRPr="007F425A" w:rsidTr="00303236">
              <w:tc>
                <w:tcPr>
                  <w:tcW w:w="1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jc w:val="center"/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Finansavimo šaltinis</w:t>
                  </w:r>
                </w:p>
              </w:tc>
              <w:tc>
                <w:tcPr>
                  <w:tcW w:w="4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jc w:val="center"/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Lėšos (tūkst. eurų)</w:t>
                  </w:r>
                </w:p>
              </w:tc>
              <w:tc>
                <w:tcPr>
                  <w:tcW w:w="1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jc w:val="both"/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Pastabos</w:t>
                  </w:r>
                </w:p>
                <w:p w:rsidR="00575FC5" w:rsidRPr="007F425A" w:rsidRDefault="00575FC5" w:rsidP="00575FC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c>
                <w:tcPr>
                  <w:tcW w:w="1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Planas (patikslintas)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Panaudota lėšų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Įvykdymas (%)</w:t>
                  </w:r>
                </w:p>
              </w:tc>
              <w:tc>
                <w:tcPr>
                  <w:tcW w:w="1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rPr>
                <w:trHeight w:val="415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Savivaldybės biudžetas (SB)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8469CE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452,7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8469CE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452,7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8469CE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Specialioji tikslinė dotacija (VB)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BE6759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324,8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324,8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Įstaigos gautos pajamos (surinkta pajamų SP), iš jų: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rPr>
                <w:trHeight w:val="477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Pajamų išlaidos (SP)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BE6759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95,7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86,1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ED6620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Dėl mažo vaikų lankomumo nesurinktos planuotos lėšos</w:t>
                  </w:r>
                </w:p>
              </w:tc>
            </w:tr>
            <w:tr w:rsidR="00575FC5" w:rsidRPr="007F425A" w:rsidTr="00303236">
              <w:trPr>
                <w:trHeight w:val="125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Projektų finansavimas (ES; VB;SB)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BE6759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 xml:space="preserve">Kitos lėšos (parama </w:t>
                  </w:r>
                  <w:r w:rsidR="000A5954">
                    <w:rPr>
                      <w:sz w:val="24"/>
                      <w:szCs w:val="24"/>
                    </w:rPr>
                    <w:t>1,</w:t>
                  </w:r>
                  <w:r w:rsidRPr="007F425A">
                    <w:rPr>
                      <w:sz w:val="24"/>
                      <w:szCs w:val="24"/>
                    </w:rPr>
                    <w:t>2 % GM ir kt.)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BE6759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rPr>
                <w:trHeight w:val="430"/>
              </w:trPr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Iš viso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BE6759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875,2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F74D2F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865,6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75FC5" w:rsidRPr="007F425A" w:rsidTr="00303236">
              <w:tc>
                <w:tcPr>
                  <w:tcW w:w="4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  <w:r w:rsidRPr="007F425A">
                    <w:rPr>
                      <w:sz w:val="24"/>
                      <w:szCs w:val="24"/>
                    </w:rPr>
                    <w:t>Kreditinis įsiskolinimas (pagal v</w:t>
                  </w:r>
                  <w:r w:rsidR="004E3799">
                    <w:rPr>
                      <w:sz w:val="24"/>
                      <w:szCs w:val="24"/>
                    </w:rPr>
                    <w:t>isus finansavimo šaltinius) 2021</w:t>
                  </w:r>
                  <w:r w:rsidRPr="007F425A">
                    <w:rPr>
                      <w:sz w:val="24"/>
                      <w:szCs w:val="24"/>
                    </w:rPr>
                    <w:t xml:space="preserve"> m. sausio 1 d. 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575FC5" w:rsidP="00575F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FC5" w:rsidRPr="007F425A" w:rsidRDefault="004E3799" w:rsidP="00575FC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nėra</w:t>
                  </w:r>
                </w:p>
              </w:tc>
            </w:tr>
          </w:tbl>
          <w:p w:rsidR="00575FC5" w:rsidRPr="007F425A" w:rsidRDefault="00575FC5" w:rsidP="0057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ED" w:rsidRDefault="00F85CE2" w:rsidP="004831ED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</w:t>
            </w:r>
            <w:r w:rsidR="0072209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Pr="00F85CE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C61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2021 m. Įstaigoje atlikti patikrinimai: Valstybinės maisto ir veterinarijos tarnybos Klaipėdos departamentas</w:t>
            </w:r>
            <w:r w:rsidR="002A15D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2021 05 17 akto Nr.37VPMĮP-191</w:t>
            </w:r>
            <w:r w:rsidR="00DC613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 Nacionalinio visuomenės sveikatos centro prie sveikatos apsaugos mini</w:t>
            </w:r>
            <w:r w:rsidR="00724D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sterijos Klaipėdos departamentas</w:t>
            </w:r>
            <w:r w:rsidR="002A15D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2021 04 22 akto Nr.(3-12 15.3.2)2-65706</w:t>
            </w:r>
            <w:r w:rsidR="00724D0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K</w:t>
            </w:r>
            <w:r w:rsidR="008F665F" w:rsidRPr="00F85CE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ontroliuojančios institucijos pažeidimų nenustatė.</w:t>
            </w:r>
            <w:r w:rsidRPr="00F85CE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831E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Įstaiga turi higienos pasą.</w:t>
            </w:r>
          </w:p>
          <w:p w:rsidR="00F85CE2" w:rsidRPr="004831ED" w:rsidRDefault="00722097" w:rsidP="004831ED">
            <w:pPr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</w:t>
            </w:r>
            <w:r w:rsidR="00F85C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Atlikus įstaigoje įsivertinimą išryškėjo vidaus ir išorės faktorių nulemtos  problemos: 1) su ugdymu susijusios problemos – ne visi pedagogai gebą kokybiškai ugdyti specialiųjų poreikių vaikus, apsunkintas bendravimas su tėvais (dėl ekstremalios situacijos), pasenusios informacinės technologijos, neužtekta int</w:t>
            </w:r>
            <w:r w:rsidR="008C4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eraktyvių ugdymo priemonių; 2) </w:t>
            </w:r>
            <w:r w:rsidR="00F85C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ugdymos</w:t>
            </w:r>
            <w:r w:rsidR="008C44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aplinka susijusios problemos –</w:t>
            </w:r>
            <w:r w:rsidR="00F85C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higienos normų neatitinkanti muzikos salė</w:t>
            </w:r>
            <w:r w:rsidR="002A15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(savivaldybės sprendimu 2022 m. numatytas remontas)</w:t>
            </w:r>
            <w:r w:rsidR="00F85C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nesutvark</w:t>
            </w:r>
            <w:r w:rsidR="004831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ytos lauko edukacinės erdvės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(teiktos paraiškos savivaldybės administracijai)</w:t>
            </w:r>
            <w:r w:rsidR="004831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F85CE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visi darbuotojai naudoja IT technologijas. </w:t>
            </w:r>
          </w:p>
          <w:p w:rsidR="00433ACE" w:rsidRPr="00F54BEB" w:rsidRDefault="008F665F" w:rsidP="005B2DE4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Planuodama artimiausių metų veiklą, įstaigos bendruomenė susitarė dėl tokių prioritetų</w:t>
            </w:r>
            <w:r w:rsidR="00F9205F">
              <w:rPr>
                <w:rFonts w:ascii="Times New Roman" w:hAnsi="Times New Roman" w:cs="Times New Roman"/>
                <w:sz w:val="24"/>
                <w:szCs w:val="24"/>
              </w:rPr>
              <w:t xml:space="preserve">: ugdymo(si) </w:t>
            </w:r>
            <w:r w:rsidR="005B2DE4">
              <w:rPr>
                <w:rFonts w:ascii="Times New Roman" w:hAnsi="Times New Roman" w:cs="Times New Roman"/>
                <w:sz w:val="24"/>
                <w:szCs w:val="24"/>
              </w:rPr>
              <w:t xml:space="preserve">proceso </w:t>
            </w:r>
            <w:r w:rsidR="00F9205F">
              <w:rPr>
                <w:rFonts w:ascii="Times New Roman" w:hAnsi="Times New Roman" w:cs="Times New Roman"/>
                <w:sz w:val="24"/>
                <w:szCs w:val="24"/>
              </w:rPr>
              <w:t>organizavimo veiksmingumo didinimas</w:t>
            </w:r>
            <w:r w:rsidR="00BC75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05F">
              <w:rPr>
                <w:rFonts w:ascii="Times New Roman" w:hAnsi="Times New Roman" w:cs="Times New Roman"/>
                <w:sz w:val="24"/>
                <w:szCs w:val="24"/>
              </w:rPr>
              <w:t xml:space="preserve"> siekiant geresnių vaikų pasiekimų ir švietimo pagalbos įvairių gebėjimų </w:t>
            </w:r>
            <w:r w:rsidR="00F54BEB">
              <w:rPr>
                <w:rFonts w:ascii="Times New Roman" w:hAnsi="Times New Roman" w:cs="Times New Roman"/>
                <w:sz w:val="24"/>
                <w:szCs w:val="24"/>
              </w:rPr>
              <w:t>vaikams teikimo gerinimas bei</w:t>
            </w:r>
            <w:r w:rsidR="00F54B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įstaigos bendruomenės telkimas sveikos ir saugios gyvensenos įgūdžių įtvirtinimui. </w:t>
            </w:r>
          </w:p>
        </w:tc>
      </w:tr>
      <w:tr w:rsidR="00623985" w:rsidRPr="007F425A" w:rsidTr="000D4CDF">
        <w:trPr>
          <w:trHeight w:val="50"/>
        </w:trPr>
        <w:tc>
          <w:tcPr>
            <w:tcW w:w="9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985" w:rsidRDefault="00623985" w:rsidP="0078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a14ca873a5c9455fb86fab13ccd35912"/>
      <w:bookmarkEnd w:id="2"/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UŽDUOTYS, REZULTATAI IR RODIKLIAI</w:t>
      </w:r>
    </w:p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F35D2" w:rsidRPr="007F425A" w:rsidRDefault="00DE0E4E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019e29dfa90d4c39aae7a3f09458e744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lastRenderedPageBreak/>
        <w:t>1</w:t>
      </w:r>
      <w:r w:rsidR="002F35D2"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Pagrindiniai praėjusių metų veiklos rezultatai</w:t>
      </w:r>
    </w:p>
    <w:tbl>
      <w:tblPr>
        <w:tblW w:w="965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107"/>
        <w:gridCol w:w="2961"/>
        <w:gridCol w:w="2103"/>
      </w:tblGrid>
      <w:tr w:rsidR="002F35D2" w:rsidRPr="007F425A" w:rsidTr="00245CD3"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E2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užduotys 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E2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 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2F35D2" w:rsidRPr="007F425A" w:rsidTr="00245CD3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Default="00DE0E4E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  <w:r w:rsidR="00C53E00">
              <w:rPr>
                <w:rFonts w:ascii="Times New Roman" w:hAnsi="Times New Roman"/>
                <w:sz w:val="24"/>
                <w:szCs w:val="24"/>
              </w:rPr>
              <w:t xml:space="preserve"> Pagerinti vidaus veiklos procesus, panaudojant „Microsoft Office 365“ ir „Microsoft </w:t>
            </w:r>
            <w:proofErr w:type="spellStart"/>
            <w:r w:rsidR="00C53E00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C53E00">
              <w:rPr>
                <w:rFonts w:ascii="Times New Roman" w:hAnsi="Times New Roman"/>
                <w:sz w:val="24"/>
                <w:szCs w:val="24"/>
              </w:rPr>
              <w:t>“ platformą</w:t>
            </w:r>
            <w:r w:rsidR="00B5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591" w:rsidRDefault="00BC7591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591" w:rsidRDefault="00BC7591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Pr="007F425A" w:rsidRDefault="00B55F3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Default="002F35D2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53E00">
              <w:rPr>
                <w:rFonts w:ascii="Times New Roman" w:hAnsi="Times New Roman"/>
                <w:sz w:val="24"/>
                <w:szCs w:val="24"/>
              </w:rPr>
              <w:t xml:space="preserve">Vidaus procesai valdomi panaudojant „Microsoft Office 365“ ir „Microsoft </w:t>
            </w:r>
            <w:proofErr w:type="spellStart"/>
            <w:r w:rsidR="00C53E00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C53E00">
              <w:rPr>
                <w:rFonts w:ascii="Times New Roman" w:hAnsi="Times New Roman"/>
                <w:sz w:val="24"/>
                <w:szCs w:val="24"/>
              </w:rPr>
              <w:t>“ platformą, veiksmingai komunikuojant ir keičiantis informacija virtualioje erdvėje</w:t>
            </w:r>
            <w:r w:rsidR="00B5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7591" w:rsidRDefault="00BC7591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Pr="007F425A" w:rsidRDefault="00B55F3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E00" w:rsidRDefault="00626205" w:rsidP="00626205">
            <w:pPr>
              <w:pStyle w:val="Betarp"/>
              <w:spacing w:line="276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53E00">
              <w:rPr>
                <w:rFonts w:ascii="Times New Roman" w:hAnsi="Times New Roman"/>
                <w:sz w:val="24"/>
                <w:szCs w:val="24"/>
              </w:rPr>
              <w:t xml:space="preserve">Ne mažiau kaip 60 proc. vidaus procesų valdomi panaudojant „Microsoft Office“ 365 ir „Microsoft </w:t>
            </w:r>
            <w:proofErr w:type="spellStart"/>
            <w:r w:rsidR="00C53E00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  <w:r w:rsidR="00C53E00">
              <w:rPr>
                <w:rFonts w:ascii="Times New Roman" w:hAnsi="Times New Roman"/>
                <w:sz w:val="24"/>
                <w:szCs w:val="24"/>
              </w:rPr>
              <w:t>“ platformą iki 2021-11-30.</w:t>
            </w:r>
          </w:p>
          <w:p w:rsidR="00A7454E" w:rsidRDefault="00A7454E" w:rsidP="00626205">
            <w:pPr>
              <w:pStyle w:val="Betarp"/>
              <w:spacing w:line="276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454E" w:rsidRDefault="00A7454E" w:rsidP="00626205">
            <w:pPr>
              <w:pStyle w:val="Betarp"/>
              <w:spacing w:line="276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003" w:rsidRDefault="002F5003" w:rsidP="00626205">
            <w:pPr>
              <w:pStyle w:val="Betarp"/>
              <w:spacing w:line="276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4D5" w:rsidRDefault="007244D5" w:rsidP="007244D5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54E" w:rsidRDefault="00A7454E" w:rsidP="00A7454E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Pedagogams organizuotas seminaras informaciniam raštingumui tobulinti iki 2021-04-01. </w:t>
            </w:r>
          </w:p>
          <w:p w:rsidR="00626205" w:rsidRDefault="00626205" w:rsidP="007244D5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4B04" w:rsidRDefault="008A4B04" w:rsidP="00C53E00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35" w:rsidRDefault="00B55F35" w:rsidP="00C53E00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54E" w:rsidRDefault="00A7454E" w:rsidP="00A7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Organizuoti 4 praktiniai užsiėmimai mokytojų lyderystės ir kūrybiškumo kompetencijų tobulinimo klausimais iki 2021-11- 01</w:t>
            </w:r>
          </w:p>
          <w:p w:rsidR="008A4B04" w:rsidRDefault="008A4B04" w:rsidP="00C53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35D2" w:rsidRDefault="002F35D2" w:rsidP="00A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5003" w:rsidRDefault="002F5003" w:rsidP="00A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5003" w:rsidRPr="007F425A" w:rsidRDefault="002F5003" w:rsidP="00A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BC7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1.Komunikavimas, dokumentų persiuntimas</w:t>
            </w:r>
            <w:r w:rsidR="00A670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posėdžiai organizuojami naudojant „Microsoft </w:t>
            </w:r>
            <w:proofErr w:type="spellStart"/>
            <w:r w:rsidR="00A670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 w:rsidR="00A670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programą. Tai sudaro apie 80 proc. vidaus procesų.</w:t>
            </w:r>
          </w:p>
          <w:p w:rsidR="00A67079" w:rsidRDefault="00A67079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2.Pedagogams organizuoti 2 seminarai kaip naudoti „Microsoft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programą.</w:t>
            </w:r>
            <w:r w:rsidR="00DB1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2021 01 27 ir 2021 06 07 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DB12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PŠKC pažymėjimas </w:t>
            </w:r>
            <w:r w:rsidR="00E11A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28.</w:t>
            </w:r>
          </w:p>
          <w:p w:rsidR="00A67079" w:rsidRDefault="00802CDD" w:rsidP="0080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3.Pravestos 3 atviros veiklos;</w:t>
            </w:r>
            <w:r w:rsidR="00A670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sudarytos 4 darbo grupės,</w:t>
            </w:r>
            <w:r w:rsidR="00A7454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ilgalaikės kūrybinės grupės;</w:t>
            </w:r>
            <w:r w:rsidR="00A670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paskirti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studentų </w:t>
            </w:r>
            <w:r w:rsidR="00A670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praktikos vadovai.</w:t>
            </w:r>
          </w:p>
          <w:p w:rsidR="002F5003" w:rsidRPr="007F425A" w:rsidRDefault="002F5003" w:rsidP="00802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F35D2" w:rsidRPr="007F425A" w:rsidTr="00245CD3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Default="00722097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  <w:r w:rsidR="00C53E00">
              <w:rPr>
                <w:rFonts w:ascii="Times New Roman" w:hAnsi="Times New Roman"/>
                <w:sz w:val="24"/>
                <w:szCs w:val="24"/>
              </w:rPr>
              <w:t xml:space="preserve"> Įgyvendinti pasirinktą patyriminio ugdymo modelį – STEAM</w:t>
            </w:r>
            <w:r w:rsidR="004F1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Pr="007F425A" w:rsidRDefault="004F1A0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Default="002F35D2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53E00">
              <w:rPr>
                <w:rFonts w:ascii="Times New Roman" w:hAnsi="Times New Roman"/>
                <w:sz w:val="24"/>
                <w:szCs w:val="24"/>
              </w:rPr>
              <w:t>Įstaigoje įgyvendinamas STEAM ugdymo modelis padės ugdyti vaikų domėjimąsi praktine veikla</w:t>
            </w:r>
            <w:r w:rsidR="004F1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Pr="007F425A" w:rsidRDefault="004F1A0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E00" w:rsidRDefault="002F35D2" w:rsidP="00E207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C53E00">
              <w:rPr>
                <w:rFonts w:ascii="Times New Roman" w:hAnsi="Times New Roman"/>
                <w:sz w:val="24"/>
                <w:szCs w:val="24"/>
              </w:rPr>
              <w:t xml:space="preserve">1. 30 proc. padaugėjo veiklų, susijusių su aktyviu pasaulio tyrinėjimu gamtoje, mokymusi konstruojant ir eksperimentuojant iki 2021-12-24. </w:t>
            </w:r>
          </w:p>
          <w:p w:rsidR="004F1A05" w:rsidRDefault="004F1A05" w:rsidP="00C53E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9A4" w:rsidRDefault="00D309A4" w:rsidP="00D30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Ne mažiau kaip 50 proc. mokytojų organizuoja STEAM veiklas vaikams iki 2021-12-24 </w:t>
            </w:r>
          </w:p>
          <w:p w:rsidR="007244D5" w:rsidRDefault="007244D5" w:rsidP="00C53E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1A05" w:rsidRDefault="004F1A05" w:rsidP="00D3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5003" w:rsidRPr="007F425A" w:rsidRDefault="002F5003" w:rsidP="00D3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56D" w:rsidRDefault="00A67079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 proc. padaugėjo patyriminių veiklų.</w:t>
            </w:r>
          </w:p>
          <w:p w:rsidR="0079256D" w:rsidRDefault="00AB032D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Dalyvauta 7</w:t>
            </w:r>
            <w:r w:rsidR="00BC7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BC7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Twining</w:t>
            </w:r>
            <w:proofErr w:type="spellEnd"/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patyriminiuose</w:t>
            </w:r>
            <w:proofErr w:type="spellEnd"/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projektuose.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respublikiniuose </w:t>
            </w:r>
            <w:r w:rsidR="00BC75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STEM </w:t>
            </w:r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projektuose</w:t>
            </w:r>
            <w:r w:rsidR="00FD2A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2F5003" w:rsidRDefault="007244D5" w:rsidP="002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86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proc. pedagogų 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(19) </w:t>
            </w:r>
            <w:r w:rsidR="002F50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organizuoja STEM veiklas 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staigoje ir už jos ribų.</w:t>
            </w:r>
            <w:r w:rsidR="002F35D2" w:rsidRP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2F5003" w:rsidRDefault="002F5003" w:rsidP="002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F5003" w:rsidRPr="0079256D" w:rsidRDefault="002F5003" w:rsidP="002F5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53E00" w:rsidRPr="007F425A" w:rsidTr="00092969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E00" w:rsidRDefault="00722097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53E00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C53E0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Didinti pedagogų atsakomybę, užtikrinant mokinių emocinį, psichologinį ir fizinį saugumą</w:t>
            </w:r>
            <w:r w:rsidR="004F1A0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4F1A05" w:rsidRPr="007F425A" w:rsidRDefault="004F1A0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E00" w:rsidRDefault="00C53E00" w:rsidP="00C53E00">
            <w:pPr>
              <w:overflowPunct w:val="0"/>
              <w:spacing w:line="252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Visų mokinių emocinė, psichologinė savijauta vertinama gerai, ugdytinių tėvai </w:t>
            </w:r>
            <w:r w:rsidR="004A7A1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pasitiki </w:t>
            </w:r>
            <w:r w:rsidR="004A7A1C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Į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staigos personalu</w:t>
            </w:r>
          </w:p>
          <w:p w:rsidR="00C53E00" w:rsidRDefault="00C53E00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F1A05" w:rsidRDefault="004F1A0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F1A05" w:rsidRPr="007F425A" w:rsidRDefault="004F1A05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00" w:rsidRDefault="00C53E00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Bendruomenės nariams organizuoti du seminarai ir Pedagoginės psichologinės tarnybos specialisto konsultacijos vaikų teisių apsaugos ir saugumo užtikrinimo klausimais iki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2021-10-30.</w:t>
            </w: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3515B" w:rsidRDefault="0073515B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309A4" w:rsidRDefault="00D309A4" w:rsidP="00D309A4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Atlikta ugdytinių tėvų apklausa apie mokinių emocinių, fizinių ir socialinių poreikių tenkinimą iki 2021-11-30. Apklausos rezultatai panaudoti 2022 m.                                   veiklos tobulinimui </w:t>
            </w: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F5003" w:rsidRDefault="002F5003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D309A4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2969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 Parengtas ir įgyvendintas priemonių planas, siekiant užtikrinti vaikų saugumą (iki 2021-11-30)</w:t>
            </w: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802CDD" w:rsidRDefault="00802CDD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C53E00" w:rsidRDefault="00C53E00" w:rsidP="00802CDD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E00" w:rsidRDefault="00C53E00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Organizuoti </w:t>
            </w:r>
            <w:r w:rsidR="0079256D" w:rsidRPr="000A51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r w:rsidR="0079256D" w:rsidRP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seminarai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sveikatos ir saugumo klausimais</w:t>
            </w:r>
            <w:r w:rsidR="007351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(2021 11 09 ir 2021 11 09 PŠKC)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1 juristo ir </w:t>
            </w:r>
            <w:r w:rsidR="002E56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  <w:r w:rsidR="0079256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specialiojo pedagogo konsultacijos</w:t>
            </w:r>
            <w:r w:rsidR="002E56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1 konsultacija vaiko teisių apsaugos tarnybos. Teiktos 2 charakteristikos šeimos ir vaiko gerovės centrui. </w:t>
            </w:r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Nuolatinė informacija tėvams vaikų saugumo ir sveikatos klausimais dėl </w:t>
            </w:r>
            <w:proofErr w:type="spellStart"/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Covid</w:t>
            </w:r>
            <w:proofErr w:type="spellEnd"/>
            <w:r w:rsidR="00802C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-19.</w:t>
            </w:r>
          </w:p>
          <w:p w:rsidR="002E569B" w:rsidRDefault="00DB12A9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E56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Atlikta ugdytinių tėvų  apklausa</w:t>
            </w:r>
            <w:r w:rsidR="003201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(dalyvavo 163 iš 194)</w:t>
            </w:r>
            <w:r w:rsidR="004136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</w:t>
            </w:r>
            <w:r w:rsidR="00B10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emocinių, fizinių ir socialinių poreikių tenkinimą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B10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Atlikus statistinę analizę išaiškėjo, kad tėvų nuomone</w:t>
            </w:r>
            <w:r w:rsidR="00D309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B10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įstaigoje vaikų emociniai poreikiai tenkinami </w:t>
            </w:r>
            <w:r w:rsidR="00AB03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B10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91,5 proc., fiziniai poreikiai – 90,3 proc., socialiniai poreikiai </w:t>
            </w:r>
            <w:r w:rsidR="00AB03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B10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91,6 proc. </w:t>
            </w:r>
            <w:r w:rsidR="00AB03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veiklą tėvai  vertina: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lab</w:t>
            </w:r>
            <w:r w:rsidR="00BD4C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 gerai</w:t>
            </w:r>
            <w:r w:rsidR="00AB03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567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AB03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567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96,2 proc., gerai – 3,8 proc. </w:t>
            </w:r>
            <w:r w:rsidR="00BD4C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m.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plane numatyta tęsti gerąją </w:t>
            </w:r>
            <w:r w:rsidR="00BD4C9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patirtį. </w:t>
            </w:r>
            <w:r w:rsidR="000929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903211" w:rsidRDefault="00092969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="009032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Susitarta dėl individualių ugdymos(si) pagalbos </w:t>
            </w:r>
            <w:r w:rsidR="005660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planų.</w:t>
            </w:r>
            <w:r w:rsidR="00E207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92969" w:rsidRPr="007F425A" w:rsidRDefault="0032017F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priemonių planas</w:t>
            </w:r>
            <w:r w:rsidR="000929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atvirtintas d</w:t>
            </w:r>
            <w:r w:rsidR="000929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irektoriaus 2021 </w:t>
            </w:r>
            <w:r w:rsidR="00185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 w:rsidR="000A51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A7A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 įsakymu</w:t>
            </w:r>
            <w:r w:rsidR="001857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Nr.95</w:t>
            </w:r>
            <w:r w:rsidR="000929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:rsidR="002F35D2" w:rsidRPr="007F425A" w:rsidRDefault="00722097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58279668499e4c6c98e1f1f1cadd441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</w:t>
      </w:r>
      <w:r w:rsidR="002F35D2"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Užduotys, neįvykdytos ar įvykdytos iš dalies dėl numatytų rizikų (jei tokių buvo)</w:t>
      </w:r>
    </w:p>
    <w:tbl>
      <w:tblPr>
        <w:tblW w:w="965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965"/>
      </w:tblGrid>
      <w:tr w:rsidR="002F35D2" w:rsidRPr="007F425A" w:rsidTr="00245CD3">
        <w:tc>
          <w:tcPr>
            <w:tcW w:w="4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rizikos</w:t>
            </w:r>
          </w:p>
        </w:tc>
      </w:tr>
      <w:tr w:rsidR="002F35D2" w:rsidRPr="007F425A" w:rsidTr="00245CD3">
        <w:tc>
          <w:tcPr>
            <w:tcW w:w="4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2" w:rsidRPr="007F425A" w:rsidRDefault="002E2580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2F35D2" w:rsidRPr="007F425A" w:rsidRDefault="002F35D2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F35D2" w:rsidRPr="007F425A" w:rsidRDefault="00722097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7fc4096d1b6d4a7a8c38e7ff7e9fb402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</w:t>
      </w:r>
      <w:r w:rsidR="002F35D2"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  Veiklos, kurios nebuvo planuotos ir nustatytos, bet įvykdytos</w:t>
      </w:r>
    </w:p>
    <w:p w:rsidR="00E93AA2" w:rsidRPr="007F425A" w:rsidRDefault="00E93AA2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65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7"/>
        <w:gridCol w:w="4113"/>
      </w:tblGrid>
      <w:tr w:rsidR="002F35D2" w:rsidRPr="007F425A" w:rsidTr="00245CD3">
        <w:tc>
          <w:tcPr>
            <w:tcW w:w="5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2F35D2" w:rsidRPr="007F425A" w:rsidTr="00245CD3"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2" w:rsidRPr="007F425A" w:rsidRDefault="0073515B" w:rsidP="002E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  <w:r w:rsidR="008619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Sudariau sąlygas ir koordinavau Įstaigos administracijos</w:t>
            </w:r>
            <w:r w:rsidR="002E25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veiklą, įsisavinant programą</w:t>
            </w:r>
            <w:r w:rsidR="00B55D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„Personalas WEB modulis“</w:t>
            </w:r>
            <w:r w:rsidR="006C2F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2" w:rsidRPr="007F425A" w:rsidRDefault="002F35D2" w:rsidP="00B5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B55D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Tikslingas dokumentų valdymas, apjungiantis kelis savivaldybės skyrius.</w:t>
            </w:r>
          </w:p>
        </w:tc>
      </w:tr>
      <w:tr w:rsidR="002F35D2" w:rsidRPr="007F425A" w:rsidTr="00245CD3"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14" w:rsidRDefault="0073515B" w:rsidP="00C1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  <w:r w:rsidR="00671D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Organizuoti mokymai </w:t>
            </w:r>
            <w:r w:rsidR="00C11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visiems darbuotojams </w:t>
            </w:r>
            <w:r w:rsidR="00671D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kaip atpažinti mobingą. </w:t>
            </w:r>
          </w:p>
          <w:p w:rsidR="00AC2414" w:rsidRDefault="00AC2414" w:rsidP="00C1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Paruoštos </w:t>
            </w:r>
            <w:r w:rsidR="002E25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Įstaigos direktoriaus patvirtintos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tvarkos:</w:t>
            </w:r>
          </w:p>
          <w:p w:rsidR="002F35D2" w:rsidRDefault="00AC2414" w:rsidP="00C11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</w:t>
            </w:r>
            <w:r w:rsidR="00972D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psichologinio saugumo užtikrinimo politikos įgyvendinimo tvarkos aprašas, 2021 08 04 Nr. V-64.</w:t>
            </w:r>
          </w:p>
          <w:p w:rsidR="00AC2414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Įtampą darbe mažinančių priemonių taikymas ir įgyvendinimo tvarka, 2021  08 04 Nr. V-63; </w:t>
            </w:r>
          </w:p>
          <w:p w:rsidR="00AC2414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- Lygių galimybių politikos įgyvendinimo ir vykdymo priežiūros tvarkos aprašas, 2021 08 04 Nr. V-64; </w:t>
            </w:r>
          </w:p>
          <w:p w:rsidR="00AC2414" w:rsidRPr="007F425A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Krizių valdymo tvarkos aprašas, 2021 12 06 Nr. V-98.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14" w:rsidRDefault="002F35D2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AC24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C114D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psichologinės savijautos gerinimas.</w:t>
            </w:r>
            <w:r w:rsidR="00AC24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C2414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Geras įstaigos mikroklimatas.  </w:t>
            </w:r>
          </w:p>
          <w:p w:rsidR="002F35D2" w:rsidRPr="007F425A" w:rsidRDefault="00AC2414" w:rsidP="00AC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3.Aiški tvarka</w:t>
            </w:r>
            <w:r w:rsidR="00302B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iškilus krizinei situacijai.</w:t>
            </w:r>
          </w:p>
        </w:tc>
      </w:tr>
      <w:tr w:rsidR="002F35D2" w:rsidRPr="007F425A" w:rsidTr="00245CD3"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15" w:rsidRPr="000F7DC1" w:rsidRDefault="0073515B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.3.</w:t>
            </w:r>
            <w:r w:rsidR="00671DA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C24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Užtikrintas kokybiškas ugdymo procesas ikimokyklinio ir priešmokyklinio ugdymo grupėse dirbančių mokytojų ir auklėtojų padėjėjų naujai įsteigus mokytojų etatus</w:t>
            </w:r>
            <w:r w:rsidR="00972D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0F7DC1" w:rsidRPr="000F7DC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( 2021 09 28 savivaldybės administracijos direktoriaus sprendimas Nr.AD1-1139)</w:t>
            </w:r>
            <w:r w:rsidR="00972D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414" w:rsidRPr="00472F27" w:rsidRDefault="00695942" w:rsidP="00695942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6C2F1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Įstaigoje</w:t>
            </w:r>
            <w:r w:rsidR="00491F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susitarta dėl mokytojų darbo laiko, kontaktinių ir nekontaktinių</w:t>
            </w:r>
            <w:r w:rsidR="002E25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valandų grafiko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72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472F27" w:rsidRPr="00472F2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2021 03 29 protokolas Nr.V5-1)</w:t>
            </w:r>
            <w:r w:rsidR="00972D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491F2C" w:rsidRPr="00491F2C" w:rsidRDefault="00695942" w:rsidP="00695942">
            <w:pPr>
              <w:pStyle w:val="Sraopastraipa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2.Susitarta dėl a</w:t>
            </w:r>
            <w:r w:rsidR="00491F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uklėtojų padėjėjų </w:t>
            </w:r>
            <w:r w:rsidR="002E25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 grafiko,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geriausiai atliepiant ugdytinių interesus ir gerinant darbo organizavimo variantą.</w:t>
            </w:r>
          </w:p>
          <w:p w:rsidR="00507F34" w:rsidRPr="00507F34" w:rsidRDefault="00507F34" w:rsidP="00AC2414">
            <w:pPr>
              <w:pStyle w:val="Sraopastraipa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F35D2" w:rsidRPr="007F425A" w:rsidTr="00245CD3">
        <w:tc>
          <w:tcPr>
            <w:tcW w:w="5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2F35D2" w:rsidRPr="007F425A" w:rsidRDefault="002F35D2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2F35D2" w:rsidRPr="007F425A" w:rsidRDefault="0073515B" w:rsidP="002F3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6" w:name="part_fe057aee9cff4a43aeb6f839b6c7c143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</w:t>
      </w:r>
      <w:r w:rsidR="002F35D2" w:rsidRPr="007F42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 Pakoreguotos praėjusių metų veiklos užduotys (jei tokių buvo) ir rezultatai</w:t>
      </w:r>
    </w:p>
    <w:p w:rsidR="00E93AA2" w:rsidRPr="007F425A" w:rsidRDefault="00E93AA2" w:rsidP="002F35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65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2128"/>
        <w:gridCol w:w="3007"/>
        <w:gridCol w:w="1986"/>
      </w:tblGrid>
      <w:tr w:rsidR="002F35D2" w:rsidRPr="007F425A" w:rsidTr="00245CD3"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 (kuriais vadovaujantis vertinama, ar nustatytos užduotys įvykdytos)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2F35D2" w:rsidRPr="007F425A" w:rsidTr="00245CD3">
        <w:tc>
          <w:tcPr>
            <w:tcW w:w="2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73515B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2F35D2"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35D2" w:rsidRPr="007F425A" w:rsidRDefault="002F35D2" w:rsidP="002F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4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2F35D2" w:rsidRPr="007F425A" w:rsidRDefault="002F35D2" w:rsidP="002F3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F425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sectPr w:rsidR="002F35D2" w:rsidRPr="007F425A" w:rsidSect="00CE4C4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140C"/>
    <w:multiLevelType w:val="hybridMultilevel"/>
    <w:tmpl w:val="657CCFEC"/>
    <w:lvl w:ilvl="0" w:tplc="1FD48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F271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E0A0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D624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9A45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A88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EAAB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84D7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8AE6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4E80C65"/>
    <w:multiLevelType w:val="hybridMultilevel"/>
    <w:tmpl w:val="147A1012"/>
    <w:lvl w:ilvl="0" w:tplc="D436B9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78248D"/>
    <w:multiLevelType w:val="hybridMultilevel"/>
    <w:tmpl w:val="F1447B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942F4"/>
    <w:multiLevelType w:val="hybridMultilevel"/>
    <w:tmpl w:val="9F308C62"/>
    <w:lvl w:ilvl="0" w:tplc="F9C6A7D2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5D20F3"/>
    <w:multiLevelType w:val="hybridMultilevel"/>
    <w:tmpl w:val="388A6ADA"/>
    <w:lvl w:ilvl="0" w:tplc="59B4BC3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141BD"/>
    <w:multiLevelType w:val="hybridMultilevel"/>
    <w:tmpl w:val="284C5158"/>
    <w:lvl w:ilvl="0" w:tplc="6EB69F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6A81"/>
    <w:multiLevelType w:val="hybridMultilevel"/>
    <w:tmpl w:val="EB34B5DC"/>
    <w:lvl w:ilvl="0" w:tplc="5D8E907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0657058"/>
    <w:multiLevelType w:val="multilevel"/>
    <w:tmpl w:val="11BE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5270ABB"/>
    <w:multiLevelType w:val="multilevel"/>
    <w:tmpl w:val="A93CFC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7D30FC"/>
    <w:multiLevelType w:val="hybridMultilevel"/>
    <w:tmpl w:val="39642EB4"/>
    <w:lvl w:ilvl="0" w:tplc="4C141F12">
      <w:start w:val="20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E97AA3"/>
    <w:multiLevelType w:val="hybridMultilevel"/>
    <w:tmpl w:val="D360BBFA"/>
    <w:lvl w:ilvl="0" w:tplc="DBAE4BCA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065" w:hanging="360"/>
      </w:pPr>
    </w:lvl>
    <w:lvl w:ilvl="2" w:tplc="0427001B" w:tentative="1">
      <w:start w:val="1"/>
      <w:numFmt w:val="lowerRoman"/>
      <w:lvlText w:val="%3."/>
      <w:lvlJc w:val="right"/>
      <w:pPr>
        <w:ind w:left="1785" w:hanging="180"/>
      </w:pPr>
    </w:lvl>
    <w:lvl w:ilvl="3" w:tplc="0427000F" w:tentative="1">
      <w:start w:val="1"/>
      <w:numFmt w:val="decimal"/>
      <w:lvlText w:val="%4."/>
      <w:lvlJc w:val="left"/>
      <w:pPr>
        <w:ind w:left="2505" w:hanging="360"/>
      </w:pPr>
    </w:lvl>
    <w:lvl w:ilvl="4" w:tplc="04270019" w:tentative="1">
      <w:start w:val="1"/>
      <w:numFmt w:val="lowerLetter"/>
      <w:lvlText w:val="%5."/>
      <w:lvlJc w:val="left"/>
      <w:pPr>
        <w:ind w:left="3225" w:hanging="360"/>
      </w:pPr>
    </w:lvl>
    <w:lvl w:ilvl="5" w:tplc="0427001B" w:tentative="1">
      <w:start w:val="1"/>
      <w:numFmt w:val="lowerRoman"/>
      <w:lvlText w:val="%6."/>
      <w:lvlJc w:val="right"/>
      <w:pPr>
        <w:ind w:left="3945" w:hanging="180"/>
      </w:pPr>
    </w:lvl>
    <w:lvl w:ilvl="6" w:tplc="0427000F" w:tentative="1">
      <w:start w:val="1"/>
      <w:numFmt w:val="decimal"/>
      <w:lvlText w:val="%7."/>
      <w:lvlJc w:val="left"/>
      <w:pPr>
        <w:ind w:left="4665" w:hanging="360"/>
      </w:pPr>
    </w:lvl>
    <w:lvl w:ilvl="7" w:tplc="04270019" w:tentative="1">
      <w:start w:val="1"/>
      <w:numFmt w:val="lowerLetter"/>
      <w:lvlText w:val="%8."/>
      <w:lvlJc w:val="left"/>
      <w:pPr>
        <w:ind w:left="5385" w:hanging="360"/>
      </w:pPr>
    </w:lvl>
    <w:lvl w:ilvl="8" w:tplc="042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772E6C1B"/>
    <w:multiLevelType w:val="multilevel"/>
    <w:tmpl w:val="90D84C28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5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  <w:rPr>
        <w:rFonts w:eastAsiaTheme="minorHAnsi" w:hint="default"/>
      </w:rPr>
    </w:lvl>
  </w:abstractNum>
  <w:abstractNum w:abstractNumId="12">
    <w:nsid w:val="7F006ABA"/>
    <w:multiLevelType w:val="hybridMultilevel"/>
    <w:tmpl w:val="9F840160"/>
    <w:lvl w:ilvl="0" w:tplc="3D183E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2"/>
    <w:rsid w:val="000127AE"/>
    <w:rsid w:val="00046402"/>
    <w:rsid w:val="000604DC"/>
    <w:rsid w:val="00092969"/>
    <w:rsid w:val="0009386C"/>
    <w:rsid w:val="000A1C4F"/>
    <w:rsid w:val="000A51FB"/>
    <w:rsid w:val="000A5954"/>
    <w:rsid w:val="000D03B7"/>
    <w:rsid w:val="000D0F48"/>
    <w:rsid w:val="000D260C"/>
    <w:rsid w:val="000D48AD"/>
    <w:rsid w:val="000D4CDF"/>
    <w:rsid w:val="000F461A"/>
    <w:rsid w:val="000F7CDA"/>
    <w:rsid w:val="000F7DC1"/>
    <w:rsid w:val="0010032A"/>
    <w:rsid w:val="001117A6"/>
    <w:rsid w:val="00117838"/>
    <w:rsid w:val="00117A18"/>
    <w:rsid w:val="00123AB7"/>
    <w:rsid w:val="001528FA"/>
    <w:rsid w:val="0015677A"/>
    <w:rsid w:val="00175D90"/>
    <w:rsid w:val="00185780"/>
    <w:rsid w:val="00196B5F"/>
    <w:rsid w:val="001A5F11"/>
    <w:rsid w:val="001B2461"/>
    <w:rsid w:val="002025C3"/>
    <w:rsid w:val="002127DC"/>
    <w:rsid w:val="002276B4"/>
    <w:rsid w:val="00235BF0"/>
    <w:rsid w:val="00245974"/>
    <w:rsid w:val="00245CD3"/>
    <w:rsid w:val="002A15D1"/>
    <w:rsid w:val="002C5517"/>
    <w:rsid w:val="002E2580"/>
    <w:rsid w:val="002E368A"/>
    <w:rsid w:val="002E569B"/>
    <w:rsid w:val="002E56DE"/>
    <w:rsid w:val="002F35D2"/>
    <w:rsid w:val="002F5003"/>
    <w:rsid w:val="00302B67"/>
    <w:rsid w:val="00303236"/>
    <w:rsid w:val="0032017F"/>
    <w:rsid w:val="00323925"/>
    <w:rsid w:val="00325348"/>
    <w:rsid w:val="00357BA8"/>
    <w:rsid w:val="00377515"/>
    <w:rsid w:val="003A00A2"/>
    <w:rsid w:val="003B6BC0"/>
    <w:rsid w:val="003D238E"/>
    <w:rsid w:val="003D6220"/>
    <w:rsid w:val="004076DE"/>
    <w:rsid w:val="004136FF"/>
    <w:rsid w:val="00413E6C"/>
    <w:rsid w:val="00433ACE"/>
    <w:rsid w:val="0043729E"/>
    <w:rsid w:val="00441D78"/>
    <w:rsid w:val="00472F27"/>
    <w:rsid w:val="004831ED"/>
    <w:rsid w:val="00491F2C"/>
    <w:rsid w:val="00494722"/>
    <w:rsid w:val="004A0419"/>
    <w:rsid w:val="004A280B"/>
    <w:rsid w:val="004A7A1C"/>
    <w:rsid w:val="004C53D1"/>
    <w:rsid w:val="004E3799"/>
    <w:rsid w:val="004F1A05"/>
    <w:rsid w:val="004F7755"/>
    <w:rsid w:val="00507F34"/>
    <w:rsid w:val="00510F7F"/>
    <w:rsid w:val="0051325E"/>
    <w:rsid w:val="00522A40"/>
    <w:rsid w:val="00533BF6"/>
    <w:rsid w:val="0054623C"/>
    <w:rsid w:val="005475F9"/>
    <w:rsid w:val="00550EA8"/>
    <w:rsid w:val="005512F8"/>
    <w:rsid w:val="00561051"/>
    <w:rsid w:val="00566016"/>
    <w:rsid w:val="00575FC5"/>
    <w:rsid w:val="005B2DE4"/>
    <w:rsid w:val="005C42BA"/>
    <w:rsid w:val="005F04FE"/>
    <w:rsid w:val="005F4963"/>
    <w:rsid w:val="0060103A"/>
    <w:rsid w:val="0061101E"/>
    <w:rsid w:val="006133B6"/>
    <w:rsid w:val="00623985"/>
    <w:rsid w:val="00625C67"/>
    <w:rsid w:val="00626205"/>
    <w:rsid w:val="006627EA"/>
    <w:rsid w:val="00667126"/>
    <w:rsid w:val="00667E3A"/>
    <w:rsid w:val="00671DAC"/>
    <w:rsid w:val="00695942"/>
    <w:rsid w:val="006A0BB3"/>
    <w:rsid w:val="006B13A8"/>
    <w:rsid w:val="006C2F10"/>
    <w:rsid w:val="006D3268"/>
    <w:rsid w:val="00700D4B"/>
    <w:rsid w:val="007202B1"/>
    <w:rsid w:val="00720318"/>
    <w:rsid w:val="007204E1"/>
    <w:rsid w:val="00722097"/>
    <w:rsid w:val="007244D5"/>
    <w:rsid w:val="00724D0F"/>
    <w:rsid w:val="007313C5"/>
    <w:rsid w:val="0073515B"/>
    <w:rsid w:val="00746F11"/>
    <w:rsid w:val="00752662"/>
    <w:rsid w:val="0077132C"/>
    <w:rsid w:val="00781519"/>
    <w:rsid w:val="00784086"/>
    <w:rsid w:val="0079256D"/>
    <w:rsid w:val="00796817"/>
    <w:rsid w:val="007A233F"/>
    <w:rsid w:val="007A3F04"/>
    <w:rsid w:val="007B12FB"/>
    <w:rsid w:val="007F425A"/>
    <w:rsid w:val="00802CDD"/>
    <w:rsid w:val="0081115B"/>
    <w:rsid w:val="00826582"/>
    <w:rsid w:val="00832CBF"/>
    <w:rsid w:val="0084111D"/>
    <w:rsid w:val="00846499"/>
    <w:rsid w:val="008469CE"/>
    <w:rsid w:val="00847727"/>
    <w:rsid w:val="008568F0"/>
    <w:rsid w:val="008619DD"/>
    <w:rsid w:val="00876F7F"/>
    <w:rsid w:val="008A1D58"/>
    <w:rsid w:val="008A4B04"/>
    <w:rsid w:val="008B530C"/>
    <w:rsid w:val="008C447C"/>
    <w:rsid w:val="008C48F9"/>
    <w:rsid w:val="008F665F"/>
    <w:rsid w:val="00903211"/>
    <w:rsid w:val="00904884"/>
    <w:rsid w:val="0094355D"/>
    <w:rsid w:val="00944825"/>
    <w:rsid w:val="00950C11"/>
    <w:rsid w:val="00951B45"/>
    <w:rsid w:val="00963E4B"/>
    <w:rsid w:val="00972D1E"/>
    <w:rsid w:val="00972D7C"/>
    <w:rsid w:val="009B48F1"/>
    <w:rsid w:val="009F609C"/>
    <w:rsid w:val="00A00578"/>
    <w:rsid w:val="00A04CD9"/>
    <w:rsid w:val="00A21E76"/>
    <w:rsid w:val="00A308E6"/>
    <w:rsid w:val="00A42232"/>
    <w:rsid w:val="00A67079"/>
    <w:rsid w:val="00A7454E"/>
    <w:rsid w:val="00A93E17"/>
    <w:rsid w:val="00A96650"/>
    <w:rsid w:val="00AA1C72"/>
    <w:rsid w:val="00AB032D"/>
    <w:rsid w:val="00AB68E6"/>
    <w:rsid w:val="00AC1101"/>
    <w:rsid w:val="00AC2414"/>
    <w:rsid w:val="00AC5512"/>
    <w:rsid w:val="00AD7335"/>
    <w:rsid w:val="00AE462F"/>
    <w:rsid w:val="00B103E7"/>
    <w:rsid w:val="00B248F3"/>
    <w:rsid w:val="00B33E4F"/>
    <w:rsid w:val="00B42027"/>
    <w:rsid w:val="00B4387C"/>
    <w:rsid w:val="00B47B32"/>
    <w:rsid w:val="00B53725"/>
    <w:rsid w:val="00B55D91"/>
    <w:rsid w:val="00B55F35"/>
    <w:rsid w:val="00B62DA4"/>
    <w:rsid w:val="00B85630"/>
    <w:rsid w:val="00BC7591"/>
    <w:rsid w:val="00BD4C97"/>
    <w:rsid w:val="00BE6328"/>
    <w:rsid w:val="00BE6759"/>
    <w:rsid w:val="00C114DA"/>
    <w:rsid w:val="00C13AAE"/>
    <w:rsid w:val="00C331C4"/>
    <w:rsid w:val="00C34FBC"/>
    <w:rsid w:val="00C41DE9"/>
    <w:rsid w:val="00C4788F"/>
    <w:rsid w:val="00C53E00"/>
    <w:rsid w:val="00C67931"/>
    <w:rsid w:val="00C958E1"/>
    <w:rsid w:val="00C974BE"/>
    <w:rsid w:val="00CC0FEC"/>
    <w:rsid w:val="00CD77DE"/>
    <w:rsid w:val="00CE4C4E"/>
    <w:rsid w:val="00CE6A92"/>
    <w:rsid w:val="00CF7201"/>
    <w:rsid w:val="00D309A4"/>
    <w:rsid w:val="00D51663"/>
    <w:rsid w:val="00D71846"/>
    <w:rsid w:val="00D93CC4"/>
    <w:rsid w:val="00DB12A9"/>
    <w:rsid w:val="00DC6136"/>
    <w:rsid w:val="00DE0E4E"/>
    <w:rsid w:val="00DE2083"/>
    <w:rsid w:val="00DE4D25"/>
    <w:rsid w:val="00DF3E68"/>
    <w:rsid w:val="00E01B04"/>
    <w:rsid w:val="00E11A5D"/>
    <w:rsid w:val="00E207B2"/>
    <w:rsid w:val="00E21666"/>
    <w:rsid w:val="00E3379A"/>
    <w:rsid w:val="00E61A57"/>
    <w:rsid w:val="00E66CCE"/>
    <w:rsid w:val="00E913A9"/>
    <w:rsid w:val="00E93AA2"/>
    <w:rsid w:val="00EA18F3"/>
    <w:rsid w:val="00EC0DE8"/>
    <w:rsid w:val="00ED6620"/>
    <w:rsid w:val="00F046AE"/>
    <w:rsid w:val="00F10A27"/>
    <w:rsid w:val="00F11B94"/>
    <w:rsid w:val="00F27EB9"/>
    <w:rsid w:val="00F54BEB"/>
    <w:rsid w:val="00F61306"/>
    <w:rsid w:val="00F74D2F"/>
    <w:rsid w:val="00F83AD0"/>
    <w:rsid w:val="00F85CE2"/>
    <w:rsid w:val="00F9205F"/>
    <w:rsid w:val="00F96801"/>
    <w:rsid w:val="00FA4594"/>
    <w:rsid w:val="00FB0043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4B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0F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C4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61306"/>
    <w:rPr>
      <w:color w:val="0563C1" w:themeColor="hyperlink"/>
      <w:u w:val="single"/>
    </w:rPr>
  </w:style>
  <w:style w:type="paragraph" w:styleId="Betarp">
    <w:name w:val="No Spacing"/>
    <w:uiPriority w:val="1"/>
    <w:qFormat/>
    <w:rsid w:val="00C53E00"/>
    <w:pPr>
      <w:spacing w:after="0" w:line="240" w:lineRule="auto"/>
    </w:pPr>
    <w:rPr>
      <w:rFonts w:ascii="Calibri" w:eastAsia="Calibri" w:hAnsi="Calibri" w:cs="Times New Roman"/>
    </w:rPr>
  </w:style>
  <w:style w:type="character" w:styleId="Rykinuoroda">
    <w:name w:val="Intense Reference"/>
    <w:basedOn w:val="Numatytasispastraiposriftas"/>
    <w:uiPriority w:val="32"/>
    <w:qFormat/>
    <w:rsid w:val="00BE6328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4B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7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0D0F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4C4E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61306"/>
    <w:rPr>
      <w:color w:val="0563C1" w:themeColor="hyperlink"/>
      <w:u w:val="single"/>
    </w:rPr>
  </w:style>
  <w:style w:type="paragraph" w:styleId="Betarp">
    <w:name w:val="No Spacing"/>
    <w:uiPriority w:val="1"/>
    <w:qFormat/>
    <w:rsid w:val="00C53E00"/>
    <w:pPr>
      <w:spacing w:after="0" w:line="240" w:lineRule="auto"/>
    </w:pPr>
    <w:rPr>
      <w:rFonts w:ascii="Calibri" w:eastAsia="Calibri" w:hAnsi="Calibri" w:cs="Times New Roman"/>
    </w:rPr>
  </w:style>
  <w:style w:type="character" w:styleId="Rykinuoroda">
    <w:name w:val="Intense Reference"/>
    <w:basedOn w:val="Numatytasispastraiposriftas"/>
    <w:uiPriority w:val="32"/>
    <w:qFormat/>
    <w:rsid w:val="00BE632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0FB39-0212-484D-8C25-15388CC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10261</Words>
  <Characters>5849</Characters>
  <Application>Microsoft Office Word</Application>
  <DocSecurity>0</DocSecurity>
  <Lines>48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Danguolė Andrijauskienė</dc:creator>
  <cp:lastModifiedBy>Windows User</cp:lastModifiedBy>
  <cp:revision>2</cp:revision>
  <cp:lastPrinted>2022-01-17T06:30:00Z</cp:lastPrinted>
  <dcterms:created xsi:type="dcterms:W3CDTF">2022-01-20T13:06:00Z</dcterms:created>
  <dcterms:modified xsi:type="dcterms:W3CDTF">2022-01-20T13:06:00Z</dcterms:modified>
</cp:coreProperties>
</file>